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4" w:rsidRDefault="005E16E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87154" w:rsidRDefault="005E16E1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87154" w:rsidRDefault="005E16E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109-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487154" w:rsidRDefault="005E16E1">
      <w:pPr>
        <w:pStyle w:val="3"/>
        <w:jc w:val="both"/>
      </w:pPr>
      <w:r>
        <w:rPr>
          <w:b/>
          <w:sz w:val="24"/>
          <w:szCs w:val="24"/>
        </w:rPr>
        <w:t xml:space="preserve">ОТНОСНО: </w:t>
      </w:r>
      <w:r>
        <w:rPr>
          <w:sz w:val="24"/>
          <w:szCs w:val="24"/>
          <w:lang w:val="bg-BG"/>
        </w:rPr>
        <w:t>Приемане на решение за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приключване на работата в Изчислителния </w:t>
      </w:r>
      <w:proofErr w:type="gramStart"/>
      <w:r>
        <w:rPr>
          <w:sz w:val="24"/>
          <w:szCs w:val="24"/>
          <w:lang w:val="bg-BG"/>
        </w:rPr>
        <w:t>пункт  към</w:t>
      </w:r>
      <w:proofErr w:type="gramEnd"/>
      <w:r>
        <w:rPr>
          <w:sz w:val="24"/>
          <w:szCs w:val="24"/>
          <w:lang w:val="bg-BG"/>
        </w:rPr>
        <w:t xml:space="preserve"> Общинска </w:t>
      </w:r>
      <w:r>
        <w:rPr>
          <w:sz w:val="24"/>
          <w:szCs w:val="24"/>
          <w:lang w:val="bg-BG"/>
        </w:rPr>
        <w:t>избирателна комисия – Вършец.</w:t>
      </w:r>
    </w:p>
    <w:p w:rsidR="00487154" w:rsidRDefault="00487154">
      <w:pPr>
        <w:pStyle w:val="3"/>
        <w:jc w:val="both"/>
        <w:rPr>
          <w:sz w:val="24"/>
          <w:szCs w:val="24"/>
          <w:lang w:val="bg-BG"/>
        </w:rPr>
      </w:pPr>
    </w:p>
    <w:p w:rsidR="00487154" w:rsidRDefault="005E16E1">
      <w:pPr>
        <w:pStyle w:val="af"/>
        <w:jc w:val="both"/>
        <w:outlineLvl w:val="9"/>
      </w:pPr>
      <w:r>
        <w:rPr>
          <w:rFonts w:ascii="Times New Roman" w:hAnsi="Times New Roman"/>
          <w:b w:val="0"/>
          <w:sz w:val="24"/>
          <w:szCs w:val="24"/>
        </w:rPr>
        <w:t>Съгласно Методически указания на Централната избирателна комисия по прилагане на И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 xml:space="preserve">борния кодекс от общинските избирателни комисии в изборите за общински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за кметове, насрочени за 27 октомври 2019г., (приети с Реше</w:t>
      </w:r>
      <w:r>
        <w:rPr>
          <w:rFonts w:ascii="Times New Roman" w:hAnsi="Times New Roman"/>
          <w:b w:val="0"/>
          <w:sz w:val="24"/>
          <w:szCs w:val="24"/>
        </w:rPr>
        <w:t xml:space="preserve">ние № </w:t>
      </w:r>
      <w:r>
        <w:rPr>
          <w:rFonts w:ascii="Times New Roman" w:hAnsi="Times New Roman"/>
          <w:b w:val="0"/>
          <w:sz w:val="24"/>
          <w:szCs w:val="24"/>
          <w:lang w:val="en-US"/>
        </w:rPr>
        <w:t>1112</w:t>
      </w:r>
      <w:r>
        <w:rPr>
          <w:rFonts w:ascii="Times New Roman" w:hAnsi="Times New Roman"/>
          <w:b w:val="0"/>
          <w:sz w:val="24"/>
          <w:szCs w:val="24"/>
        </w:rPr>
        <w:t xml:space="preserve">-МИ от 16 септември 2019 г. на ЦИК), т. 39 от Процедурата по установяване на резултатите от гласуването за общински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кметове след решение на ОИК за приключване на работата в ИП към ОИК отговорникът на ИП разпечатва справки за непристиг</w:t>
      </w:r>
      <w:r>
        <w:rPr>
          <w:rFonts w:ascii="Times New Roman" w:hAnsi="Times New Roman"/>
          <w:b w:val="0"/>
          <w:sz w:val="24"/>
          <w:szCs w:val="24"/>
        </w:rPr>
        <w:t xml:space="preserve">нали секционни протоколи, за закрити секции, за съответствие между секциите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приемо-предавателните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разписки, както и списък на протоколите с неудовлетворени контроли. </w:t>
      </w:r>
    </w:p>
    <w:p w:rsidR="00487154" w:rsidRDefault="00487154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154" w:rsidRDefault="005E16E1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от Изборния кодекс, ОИК – Вършец.</w:t>
      </w:r>
    </w:p>
    <w:p w:rsidR="00487154" w:rsidRDefault="00487154">
      <w:pPr>
        <w:shd w:val="clear" w:color="auto" w:fill="FFFFFF"/>
        <w:suppressAutoHyphens w:val="0"/>
        <w:spacing w:after="150"/>
        <w:jc w:val="both"/>
        <w:textAlignment w:val="auto"/>
      </w:pPr>
    </w:p>
    <w:p w:rsidR="00487154" w:rsidRDefault="005E16E1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87154" w:rsidRDefault="005E16E1">
      <w:pPr>
        <w:pStyle w:val="3"/>
        <w:jc w:val="both"/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Обявява</w:t>
      </w:r>
      <w:proofErr w:type="spellEnd"/>
      <w:r>
        <w:rPr>
          <w:sz w:val="24"/>
          <w:szCs w:val="24"/>
          <w:lang w:val="bg-BG"/>
        </w:rPr>
        <w:t xml:space="preserve"> приключването на работата в Изчислителния пункт към Общинска избир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телна комисия – Вършец на 28.10.2019 г. в 07</w:t>
      </w:r>
      <w:r>
        <w:rPr>
          <w:sz w:val="24"/>
          <w:szCs w:val="24"/>
        </w:rPr>
        <w:t xml:space="preserve">:50 </w:t>
      </w:r>
      <w:r>
        <w:rPr>
          <w:sz w:val="24"/>
          <w:szCs w:val="24"/>
          <w:lang w:val="bg-BG"/>
        </w:rPr>
        <w:t>ч.</w:t>
      </w:r>
      <w:proofErr w:type="gramEnd"/>
    </w:p>
    <w:p w:rsidR="00487154" w:rsidRDefault="00487154">
      <w:pPr>
        <w:pStyle w:val="a3"/>
        <w:shd w:val="clear" w:color="auto" w:fill="FFFFFF"/>
        <w:spacing w:before="0" w:after="150"/>
        <w:jc w:val="both"/>
        <w:rPr>
          <w:b/>
        </w:rPr>
      </w:pPr>
    </w:p>
    <w:p w:rsidR="00487154" w:rsidRDefault="005E16E1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487154" w:rsidRDefault="00487154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154" w:rsidRDefault="005E16E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87154" w:rsidRDefault="005E16E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87154" w:rsidRDefault="00487154">
      <w:pPr>
        <w:spacing w:before="100" w:after="100"/>
        <w:jc w:val="both"/>
      </w:pPr>
    </w:p>
    <w:p w:rsidR="00487154" w:rsidRDefault="005E16E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28.10.2019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08:30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487154" w:rsidRDefault="00487154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154" w:rsidRDefault="00487154">
      <w:pPr>
        <w:spacing w:before="100" w:after="100"/>
        <w:jc w:val="both"/>
      </w:pPr>
    </w:p>
    <w:sectPr w:rsidR="00487154">
      <w:headerReference w:type="default" r:id="rId7"/>
      <w:footerReference w:type="default" r:id="rId8"/>
      <w:pgSz w:w="11906" w:h="16838"/>
      <w:pgMar w:top="142" w:right="991" w:bottom="142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6E1">
      <w:r>
        <w:separator/>
      </w:r>
    </w:p>
  </w:endnote>
  <w:endnote w:type="continuationSeparator" w:id="0">
    <w:p w:rsidR="00000000" w:rsidRDefault="005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80" w:rsidRDefault="005E16E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81880" w:rsidRDefault="005E1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6E1">
      <w:r>
        <w:rPr>
          <w:color w:val="000000"/>
        </w:rPr>
        <w:separator/>
      </w:r>
    </w:p>
  </w:footnote>
  <w:footnote w:type="continuationSeparator" w:id="0">
    <w:p w:rsidR="00000000" w:rsidRDefault="005E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80" w:rsidRDefault="005E16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7154"/>
    <w:rsid w:val="00487154"/>
    <w:rsid w:val="005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2019-10-27T18:15:00Z</cp:lastPrinted>
  <dcterms:created xsi:type="dcterms:W3CDTF">2019-10-28T06:13:00Z</dcterms:created>
  <dcterms:modified xsi:type="dcterms:W3CDTF">2019-10-28T06:13:00Z</dcterms:modified>
</cp:coreProperties>
</file>