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9C" w:rsidRDefault="00163EE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бщинска избирателна комисия - Вършец</w:t>
      </w:r>
    </w:p>
    <w:p w:rsidR="0076139C" w:rsidRDefault="00163EE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6139C" w:rsidRDefault="0076139C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6139C" w:rsidRDefault="00163EEC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86 -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18.10.2019 г.</w:t>
      </w:r>
    </w:p>
    <w:p w:rsidR="0076139C" w:rsidRDefault="0076139C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6139C" w:rsidRDefault="00163EEC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Разпределяне на членовете на ОИК Вършец за подпомагане и контрол на дейността на секционните</w:t>
      </w:r>
      <w:r>
        <w:t xml:space="preserve"> избирателни комисии в община Вършец при провеждане на изборите за общински съветници и кметове на 27.10.2019 г.</w:t>
      </w:r>
    </w:p>
    <w:p w:rsidR="0076139C" w:rsidRDefault="00163EEC">
      <w:pPr>
        <w:jc w:val="both"/>
      </w:pPr>
      <w:r>
        <w:rPr>
          <w:rFonts w:ascii="Times New Roman" w:hAnsi="Times New Roman"/>
          <w:sz w:val="24"/>
          <w:szCs w:val="24"/>
        </w:rPr>
        <w:t>Във връзка с задълженията и правомощията на ОИК относно осъществява дейностите по прилагането на Изборния кодекс и свързаните с него нормативни</w:t>
      </w:r>
      <w:r>
        <w:rPr>
          <w:rFonts w:ascii="Times New Roman" w:hAnsi="Times New Roman"/>
          <w:sz w:val="24"/>
          <w:szCs w:val="24"/>
        </w:rPr>
        <w:t xml:space="preserve"> актове, както и упражняване на контрол върху дейността на секционните избирателни комисии на територията на изборния район съгласно разпоредбите на чл. 87, ал. 1, т. 1 и т. 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цел разпределяне отговорността на членовете на комисията за контролиране и под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помагане дейността на СИК през изборния ден на 27.10.2019 г., ОИК - Вършец</w:t>
      </w:r>
    </w:p>
    <w:p w:rsidR="0076139C" w:rsidRDefault="00163EEC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6139C" w:rsidRDefault="00163EEC">
      <w:pPr>
        <w:shd w:val="clear" w:color="auto" w:fill="FFFFFF"/>
        <w:suppressAutoHyphens w:val="0"/>
        <w:spacing w:after="150" w:line="240" w:lineRule="auto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Разпределя отговорници от ОИК – Вършец за осъществяване на дейностите по ИК и контрол върху дейността на секционни избирателни комисии на територията на община Вършец в изборн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 ден 27.10.2019 г., както следва:</w:t>
      </w:r>
    </w:p>
    <w:tbl>
      <w:tblPr>
        <w:tblW w:w="9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211"/>
        <w:gridCol w:w="3686"/>
        <w:gridCol w:w="1701"/>
      </w:tblGrid>
      <w:tr w:rsidR="0076139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Отговорник член на ОИК - Вършец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Мобилен 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лефон</w:t>
            </w:r>
          </w:p>
        </w:tc>
      </w:tr>
      <w:tr w:rsidR="0076139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№ 121200001,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№ 121200002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и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№ 1212000017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Калин Найденов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Петър Петров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0886 62 86 40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0898 70 91 33</w:t>
            </w:r>
          </w:p>
        </w:tc>
      </w:tr>
      <w:tr w:rsidR="0076139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№ 121200003, 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№ 121200004 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№ 121200016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Кацарова – Милкова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Петрова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0885 08 90 34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0876 24 22 29</w:t>
            </w:r>
          </w:p>
        </w:tc>
      </w:tr>
      <w:tr w:rsidR="0076139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№ 121200005, 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№ 121200006 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№ 121200015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Мариева Андреева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Любен Димитров Ставров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0879 92 99 89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0893 60 57 55</w:t>
            </w:r>
          </w:p>
        </w:tc>
      </w:tr>
      <w:tr w:rsidR="0076139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№ 121200007, 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№ 121200008 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№ 121200014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Миланов Димитров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Иванова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0888 78 12 60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0884 69 22 56</w:t>
            </w:r>
          </w:p>
        </w:tc>
      </w:tr>
      <w:tr w:rsidR="0076139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№ 121200009, 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№ 121200010 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№ 1212000011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Трифонова Диковска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Василева Георгиева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0899 12 00 05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0877 76 89 84</w:t>
            </w:r>
          </w:p>
        </w:tc>
      </w:tr>
      <w:tr w:rsidR="0076139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№ 121200012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и 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№ 121200013</w:t>
            </w:r>
          </w:p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Евелина Трендафилова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Герова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Антонина Александрова Петкова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39C" w:rsidRDefault="0076139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0884 88 40 72</w:t>
            </w:r>
          </w:p>
          <w:p w:rsidR="0076139C" w:rsidRDefault="00163EE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0877 76 89 84</w:t>
            </w:r>
          </w:p>
        </w:tc>
      </w:tr>
    </w:tbl>
    <w:p w:rsidR="0076139C" w:rsidRDefault="0076139C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139C" w:rsidRDefault="00163EEC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Настоящото решение ще бъде предоставено на секционните избирателни комисии към изборните материали за сведение. </w:t>
      </w:r>
    </w:p>
    <w:p w:rsidR="0076139C" w:rsidRDefault="00163EEC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Решението  подлежи на оспорване в 3 /три/ дневен срок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bookmarkEnd w:id="0"/>
    <w:p w:rsidR="0076139C" w:rsidRDefault="0076139C">
      <w:pPr>
        <w:suppressAutoHyphens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9C" w:rsidRDefault="00163EEC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6139C" w:rsidRDefault="00163EEC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76139C" w:rsidRDefault="0076139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9C" w:rsidRDefault="00163EEC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18.10.2019 г. в 16:00 часа</w:t>
      </w:r>
    </w:p>
    <w:p w:rsidR="0076139C" w:rsidRDefault="0076139C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139C" w:rsidRDefault="00163EEC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6139C" w:rsidRDefault="0076139C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76139C">
      <w:footerReference w:type="default" r:id="rId7"/>
      <w:pgSz w:w="11906" w:h="16838"/>
      <w:pgMar w:top="284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EC" w:rsidRDefault="00163EEC">
      <w:pPr>
        <w:spacing w:after="0" w:line="240" w:lineRule="auto"/>
      </w:pPr>
      <w:r>
        <w:separator/>
      </w:r>
    </w:p>
  </w:endnote>
  <w:endnote w:type="continuationSeparator" w:id="0">
    <w:p w:rsidR="00163EEC" w:rsidRDefault="0016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85" w:rsidRDefault="00163EEC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C93297">
      <w:rPr>
        <w:noProof/>
      </w:rPr>
      <w:t>2</w:t>
    </w:r>
    <w:r>
      <w:fldChar w:fldCharType="end"/>
    </w:r>
  </w:p>
  <w:p w:rsidR="004E4085" w:rsidRDefault="00163E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EC" w:rsidRDefault="00163E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3EEC" w:rsidRDefault="00163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39C"/>
    <w:rsid w:val="00163EEC"/>
    <w:rsid w:val="0076139C"/>
    <w:rsid w:val="00C93297"/>
    <w:rsid w:val="00E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2019-10-18T12:06:00Z</cp:lastPrinted>
  <dcterms:created xsi:type="dcterms:W3CDTF">2019-10-18T12:32:00Z</dcterms:created>
  <dcterms:modified xsi:type="dcterms:W3CDTF">2019-10-18T12:32:00Z</dcterms:modified>
</cp:coreProperties>
</file>